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002A" w14:textId="0D2CB17B" w:rsidR="002935C8" w:rsidRPr="00BC7F6D" w:rsidRDefault="00BC7F6D" w:rsidP="00BC7F6D">
      <w:pPr>
        <w:tabs>
          <w:tab w:val="left" w:pos="142"/>
        </w:tabs>
        <w:rPr>
          <w:rFonts w:ascii="宋体" w:hAnsi="宋体"/>
          <w:b/>
          <w:bCs/>
          <w:sz w:val="28"/>
          <w:szCs w:val="28"/>
        </w:rPr>
      </w:pPr>
      <w:r w:rsidRPr="00BC7F6D">
        <w:rPr>
          <w:rFonts w:ascii="宋体" w:hAnsi="宋体"/>
          <w:b/>
          <w:bCs/>
          <w:noProof/>
          <w:sz w:val="28"/>
          <w:szCs w:val="28"/>
        </w:rPr>
        <w:drawing>
          <wp:anchor distT="0" distB="0" distL="114300" distR="114300" simplePos="0" relativeHeight="251659264" behindDoc="1" locked="0" layoutInCell="1" allowOverlap="1" wp14:anchorId="06A17A67" wp14:editId="4A29F252">
            <wp:simplePos x="0" y="0"/>
            <wp:positionH relativeFrom="column">
              <wp:posOffset>0</wp:posOffset>
            </wp:positionH>
            <wp:positionV relativeFrom="paragraph">
              <wp:posOffset>157480</wp:posOffset>
            </wp:positionV>
            <wp:extent cx="1550035" cy="1371600"/>
            <wp:effectExtent l="0" t="0" r="0" b="0"/>
            <wp:wrapTight wrapText="bothSides">
              <wp:wrapPolygon edited="0">
                <wp:start x="0" y="0"/>
                <wp:lineTo x="0" y="21300"/>
                <wp:lineTo x="21237" y="21300"/>
                <wp:lineTo x="21237" y="0"/>
                <wp:lineTo x="0" y="0"/>
              </wp:wrapPolygon>
            </wp:wrapTight>
            <wp:docPr id="1" name="图片 1" descr="穿着西装笔挺的男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穿着西装笔挺的男子&#10;&#10;描述已自动生成"/>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74" t="3085" r="9524" b="44854"/>
                    <a:stretch/>
                  </pic:blipFill>
                  <pic:spPr bwMode="auto">
                    <a:xfrm>
                      <a:off x="0" y="0"/>
                      <a:ext cx="155003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316B" w:rsidRPr="00BC7F6D">
        <w:rPr>
          <w:rFonts w:ascii="宋体" w:hAnsi="宋体" w:hint="eastAsia"/>
          <w:b/>
          <w:bCs/>
          <w:sz w:val="28"/>
          <w:szCs w:val="28"/>
          <w:lang w:eastAsia="zh-Hans"/>
        </w:rPr>
        <w:t>武春燕</w:t>
      </w:r>
    </w:p>
    <w:p w14:paraId="7D120A6B" w14:textId="77777777" w:rsidR="00BC7F6D" w:rsidRPr="00BC7F6D" w:rsidRDefault="00F8561A" w:rsidP="00BC7F6D">
      <w:pPr>
        <w:spacing w:line="360" w:lineRule="auto"/>
        <w:rPr>
          <w:rFonts w:ascii="宋体" w:hAnsi="宋体"/>
          <w:bCs/>
          <w:sz w:val="28"/>
          <w:szCs w:val="28"/>
        </w:rPr>
      </w:pPr>
      <w:r w:rsidRPr="00BC7F6D">
        <w:rPr>
          <w:rFonts w:ascii="宋体" w:hAnsi="宋体" w:hint="eastAsia"/>
          <w:bCs/>
          <w:sz w:val="28"/>
          <w:szCs w:val="28"/>
        </w:rPr>
        <w:t>主任医师</w:t>
      </w:r>
    </w:p>
    <w:p w14:paraId="783245BD" w14:textId="690C164D" w:rsidR="001E316B" w:rsidRDefault="00BC7F6D" w:rsidP="00BC7F6D">
      <w:pPr>
        <w:spacing w:line="360" w:lineRule="auto"/>
        <w:rPr>
          <w:rFonts w:ascii="宋体" w:hAnsi="宋体"/>
          <w:bCs/>
          <w:sz w:val="28"/>
          <w:szCs w:val="28"/>
        </w:rPr>
      </w:pPr>
      <w:r w:rsidRPr="00BC7F6D">
        <w:rPr>
          <w:rFonts w:ascii="宋体" w:hAnsi="宋体" w:hint="eastAsia"/>
          <w:bCs/>
          <w:sz w:val="28"/>
          <w:szCs w:val="28"/>
        </w:rPr>
        <w:t>南昌大学</w:t>
      </w:r>
      <w:r w:rsidR="001E316B" w:rsidRPr="00BC7F6D">
        <w:rPr>
          <w:rFonts w:ascii="宋体" w:hAnsi="宋体" w:hint="eastAsia"/>
          <w:bCs/>
          <w:sz w:val="28"/>
          <w:szCs w:val="28"/>
        </w:rPr>
        <w:t>硕士</w:t>
      </w:r>
      <w:r w:rsidR="00F8561A" w:rsidRPr="00BC7F6D">
        <w:rPr>
          <w:rFonts w:ascii="宋体" w:hAnsi="宋体" w:hint="eastAsia"/>
          <w:bCs/>
          <w:sz w:val="28"/>
          <w:szCs w:val="28"/>
        </w:rPr>
        <w:t>生导师</w:t>
      </w:r>
    </w:p>
    <w:p w14:paraId="345018DD" w14:textId="77777777" w:rsidR="00BC7F6D" w:rsidRPr="00BC7F6D" w:rsidRDefault="00BC7F6D" w:rsidP="00BC7F6D">
      <w:pPr>
        <w:spacing w:line="360" w:lineRule="auto"/>
        <w:rPr>
          <w:rFonts w:ascii="宋体" w:hAnsi="宋体" w:hint="eastAsia"/>
          <w:bCs/>
          <w:sz w:val="28"/>
          <w:szCs w:val="28"/>
        </w:rPr>
      </w:pPr>
    </w:p>
    <w:p w14:paraId="0516BEED" w14:textId="77777777" w:rsidR="002935C8" w:rsidRPr="00BC7F6D" w:rsidRDefault="00F8561A" w:rsidP="00BC7F6D">
      <w:pPr>
        <w:numPr>
          <w:ilvl w:val="0"/>
          <w:numId w:val="1"/>
        </w:numPr>
        <w:spacing w:line="360" w:lineRule="auto"/>
        <w:rPr>
          <w:rFonts w:ascii="宋体" w:hAnsi="宋体"/>
          <w:b/>
        </w:rPr>
      </w:pPr>
      <w:r w:rsidRPr="00BC7F6D">
        <w:rPr>
          <w:rFonts w:ascii="宋体" w:hAnsi="宋体" w:hint="eastAsia"/>
          <w:b/>
        </w:rPr>
        <w:t>招生专业</w:t>
      </w:r>
    </w:p>
    <w:p w14:paraId="54A74211" w14:textId="25CCEBAB" w:rsidR="002935C8" w:rsidRPr="00BC7F6D" w:rsidRDefault="00F8561A" w:rsidP="00BC7F6D">
      <w:pPr>
        <w:spacing w:line="360" w:lineRule="auto"/>
        <w:ind w:left="420"/>
        <w:rPr>
          <w:rFonts w:ascii="宋体" w:hAnsi="宋体"/>
        </w:rPr>
      </w:pPr>
      <w:r w:rsidRPr="00BC7F6D">
        <w:rPr>
          <w:rFonts w:ascii="宋体" w:hAnsi="宋体" w:hint="eastAsia"/>
          <w:lang w:eastAsia="zh-Hans"/>
        </w:rPr>
        <w:t>肿瘤学</w:t>
      </w:r>
    </w:p>
    <w:p w14:paraId="2F9E7A51" w14:textId="77777777" w:rsidR="002935C8" w:rsidRPr="00BC7F6D" w:rsidRDefault="00F8561A" w:rsidP="00BC7F6D">
      <w:pPr>
        <w:numPr>
          <w:ilvl w:val="0"/>
          <w:numId w:val="1"/>
        </w:numPr>
        <w:spacing w:line="360" w:lineRule="auto"/>
        <w:rPr>
          <w:rFonts w:ascii="宋体" w:hAnsi="宋体"/>
          <w:b/>
        </w:rPr>
      </w:pPr>
      <w:r w:rsidRPr="00BC7F6D">
        <w:rPr>
          <w:rFonts w:ascii="宋体" w:hAnsi="宋体" w:hint="eastAsia"/>
          <w:b/>
        </w:rPr>
        <w:t>现任职务及专业学术任职</w:t>
      </w:r>
    </w:p>
    <w:p w14:paraId="6DC73DBB" w14:textId="4BBE6A6E" w:rsidR="002935C8" w:rsidRPr="00BC7F6D" w:rsidRDefault="00F8561A" w:rsidP="00BC7F6D">
      <w:pPr>
        <w:spacing w:line="360" w:lineRule="auto"/>
        <w:ind w:leftChars="200" w:left="420" w:firstLineChars="200" w:firstLine="420"/>
        <w:rPr>
          <w:rFonts w:ascii="宋体" w:hAnsi="宋体"/>
          <w:lang w:val="zh-TW" w:eastAsia="zh-TW"/>
        </w:rPr>
      </w:pPr>
      <w:r w:rsidRPr="00BC7F6D">
        <w:rPr>
          <w:rFonts w:ascii="宋体" w:hAnsi="宋体" w:hint="eastAsia"/>
          <w:lang w:val="zh-TW" w:eastAsia="zh-TW"/>
        </w:rPr>
        <w:t>同济大学附属上海市肺科医院</w:t>
      </w:r>
      <w:r w:rsidR="001E316B" w:rsidRPr="00BC7F6D">
        <w:rPr>
          <w:rFonts w:ascii="宋体" w:hAnsi="宋体" w:hint="eastAsia"/>
          <w:lang w:val="zh-TW" w:eastAsia="zh-TW"/>
        </w:rPr>
        <w:t>病理科主任</w:t>
      </w:r>
      <w:r w:rsidRPr="00BC7F6D">
        <w:rPr>
          <w:rFonts w:ascii="宋体" w:hAnsi="宋体"/>
          <w:lang w:eastAsia="zh-TW"/>
        </w:rPr>
        <w:t>，</w:t>
      </w:r>
      <w:r w:rsidR="001E316B" w:rsidRPr="00BC7F6D">
        <w:rPr>
          <w:rFonts w:ascii="宋体" w:hAnsi="宋体" w:hint="eastAsia"/>
          <w:lang w:val="zh-TW" w:eastAsia="zh-TW"/>
        </w:rPr>
        <w:t>中华医学会病理学分会胸部疾病学组委员</w:t>
      </w:r>
      <w:r w:rsidR="001A23E6" w:rsidRPr="00BC7F6D">
        <w:rPr>
          <w:rFonts w:ascii="宋体" w:hAnsi="宋体" w:hint="eastAsia"/>
          <w:lang w:val="zh-TW" w:eastAsia="zh-TW"/>
        </w:rPr>
        <w:t>、</w:t>
      </w:r>
      <w:r w:rsidR="001E316B" w:rsidRPr="00BC7F6D">
        <w:rPr>
          <w:rFonts w:ascii="宋体" w:hAnsi="宋体" w:hint="eastAsia"/>
          <w:lang w:val="zh-TW" w:eastAsia="zh-TW"/>
        </w:rPr>
        <w:t>中华医学会病理学分会分子病理学组委员、中华医学会结核病学分会病理专业委员会主任委员、中国研究型医院学会病理学委员会胸肺学组副组长、上海市临床病理质量控制中心细胞病理工作组专家、上海市临床病理质量控制胸部病理工作组专家</w:t>
      </w:r>
      <w:r w:rsidRPr="00BC7F6D">
        <w:rPr>
          <w:rFonts w:ascii="宋体" w:hAnsi="宋体" w:hint="eastAsia"/>
          <w:lang w:val="zh-TW"/>
        </w:rPr>
        <w:t>，</w:t>
      </w:r>
      <w:r w:rsidRPr="00BC7F6D">
        <w:rPr>
          <w:rFonts w:ascii="宋体" w:hAnsi="宋体" w:hint="eastAsia"/>
          <w:lang w:val="zh-TW" w:eastAsia="zh-TW"/>
        </w:rPr>
        <w:t>《</w:t>
      </w:r>
      <w:r w:rsidRPr="00BC7F6D">
        <w:rPr>
          <w:rFonts w:ascii="宋体" w:hAnsi="宋体" w:hint="eastAsia"/>
          <w:lang w:val="zh-TW"/>
        </w:rPr>
        <w:t>中华病理学</w:t>
      </w:r>
      <w:r w:rsidRPr="00BC7F6D">
        <w:rPr>
          <w:rFonts w:ascii="宋体" w:hAnsi="宋体" w:hint="eastAsia"/>
          <w:lang w:val="zh-TW" w:eastAsia="zh-TW"/>
        </w:rPr>
        <w:t>》</w:t>
      </w:r>
      <w:r w:rsidRPr="00BC7F6D">
        <w:rPr>
          <w:rFonts w:ascii="宋体" w:hAnsi="宋体" w:hint="eastAsia"/>
          <w:lang w:val="zh-TW"/>
        </w:rPr>
        <w:t>杂志编委</w:t>
      </w:r>
      <w:r w:rsidR="001E316B" w:rsidRPr="00BC7F6D">
        <w:rPr>
          <w:rFonts w:ascii="宋体" w:hAnsi="宋体" w:hint="eastAsia"/>
          <w:lang w:val="zh-TW" w:eastAsia="zh-TW"/>
        </w:rPr>
        <w:t>。</w:t>
      </w:r>
    </w:p>
    <w:p w14:paraId="0F9813A4" w14:textId="77777777" w:rsidR="002935C8" w:rsidRPr="00BC7F6D" w:rsidRDefault="00F8561A" w:rsidP="00BC7F6D">
      <w:pPr>
        <w:numPr>
          <w:ilvl w:val="0"/>
          <w:numId w:val="1"/>
        </w:numPr>
        <w:spacing w:line="360" w:lineRule="auto"/>
        <w:rPr>
          <w:rFonts w:ascii="宋体" w:hAnsi="宋体"/>
          <w:b/>
        </w:rPr>
      </w:pPr>
      <w:r w:rsidRPr="00BC7F6D">
        <w:rPr>
          <w:rFonts w:ascii="宋体" w:hAnsi="宋体" w:hint="eastAsia"/>
          <w:b/>
        </w:rPr>
        <w:t>研究方向</w:t>
      </w:r>
    </w:p>
    <w:p w14:paraId="583632D9" w14:textId="2A5CD083" w:rsidR="002935C8" w:rsidRPr="00BC7F6D" w:rsidRDefault="001E316B" w:rsidP="002B6BDA">
      <w:pPr>
        <w:spacing w:line="360" w:lineRule="auto"/>
        <w:ind w:leftChars="200" w:left="420" w:firstLineChars="200" w:firstLine="420"/>
        <w:rPr>
          <w:rFonts w:ascii="宋体" w:hAnsi="宋体"/>
        </w:rPr>
      </w:pPr>
      <w:r w:rsidRPr="00BC7F6D">
        <w:rPr>
          <w:rFonts w:ascii="宋体" w:hAnsi="宋体" w:hint="eastAsia"/>
          <w:lang w:eastAsia="zh-Hans"/>
        </w:rPr>
        <w:t>肺部疾病的组织形态学、分子病理及相关肿瘤耐药机制和分子标志物方面的</w:t>
      </w:r>
      <w:r w:rsidRPr="00BC7F6D">
        <w:rPr>
          <w:rFonts w:ascii="宋体" w:hAnsi="宋体" w:hint="eastAsia"/>
        </w:rPr>
        <w:t>临床研究及基础转化研究</w:t>
      </w:r>
    </w:p>
    <w:p w14:paraId="3249987B" w14:textId="77777777" w:rsidR="002935C8" w:rsidRPr="00BC7F6D" w:rsidRDefault="00F8561A" w:rsidP="00BC7F6D">
      <w:pPr>
        <w:numPr>
          <w:ilvl w:val="0"/>
          <w:numId w:val="1"/>
        </w:numPr>
        <w:spacing w:line="360" w:lineRule="auto"/>
        <w:rPr>
          <w:rFonts w:ascii="宋体" w:hAnsi="宋体"/>
          <w:b/>
        </w:rPr>
      </w:pPr>
      <w:r w:rsidRPr="00BC7F6D">
        <w:rPr>
          <w:rFonts w:ascii="宋体" w:hAnsi="宋体" w:hint="eastAsia"/>
          <w:b/>
        </w:rPr>
        <w:t>科研业绩</w:t>
      </w:r>
    </w:p>
    <w:p w14:paraId="4C6B84DE" w14:textId="6E70F08E" w:rsidR="002935C8" w:rsidRPr="00BC7F6D" w:rsidRDefault="00D66554" w:rsidP="00BC7F6D">
      <w:pPr>
        <w:spacing w:line="360" w:lineRule="auto"/>
        <w:ind w:leftChars="200" w:left="420" w:firstLineChars="200" w:firstLine="420"/>
        <w:rPr>
          <w:rFonts w:ascii="宋体" w:hAnsi="宋体"/>
          <w:lang w:val="zh-TW" w:eastAsia="zh-TW"/>
        </w:rPr>
      </w:pPr>
      <w:r w:rsidRPr="00BC7F6D">
        <w:rPr>
          <w:rFonts w:ascii="宋体" w:hAnsi="宋体" w:hint="eastAsia"/>
        </w:rPr>
        <w:t>擅长肺癌、间皮瘤、结核和结节病、间质性肺疾病、职业性尘肺、胸腺瘤等疾病的病理诊断。</w:t>
      </w:r>
      <w:r w:rsidRPr="00BC7F6D">
        <w:rPr>
          <w:rFonts w:ascii="宋体" w:hAnsi="宋体" w:hint="eastAsia"/>
          <w:lang w:val="zh-TW" w:eastAsia="zh-TW"/>
        </w:rPr>
        <w:t>主持国家自然科学基金、上海市自然科学基金、上海市科委项目、上海市申康医院发展中心项目等</w:t>
      </w:r>
      <w:r w:rsidRPr="00BC7F6D">
        <w:rPr>
          <w:rFonts w:ascii="宋体" w:hAnsi="宋体" w:hint="eastAsia"/>
          <w:lang w:val="zh-TW"/>
        </w:rPr>
        <w:t>6</w:t>
      </w:r>
      <w:r w:rsidRPr="00BC7F6D">
        <w:rPr>
          <w:rFonts w:ascii="宋体" w:hAnsi="宋体" w:hint="eastAsia"/>
          <w:lang w:val="zh-TW" w:eastAsia="zh-TW"/>
        </w:rPr>
        <w:t>项课题。发表</w:t>
      </w:r>
      <w:r w:rsidRPr="00BC7F6D">
        <w:rPr>
          <w:rFonts w:ascii="宋体" w:hAnsi="宋体"/>
        </w:rPr>
        <w:t>SCI</w:t>
      </w:r>
      <w:r w:rsidRPr="00BC7F6D">
        <w:rPr>
          <w:rFonts w:ascii="宋体" w:hAnsi="宋体" w:hint="eastAsia"/>
          <w:lang w:val="zh-TW" w:eastAsia="zh-TW"/>
        </w:rPr>
        <w:t>收录论文</w:t>
      </w:r>
      <w:r w:rsidRPr="00BC7F6D">
        <w:rPr>
          <w:rFonts w:ascii="宋体" w:hAnsi="宋体"/>
          <w:lang w:eastAsia="zh-TW"/>
        </w:rPr>
        <w:t>40</w:t>
      </w:r>
      <w:r w:rsidRPr="00BC7F6D">
        <w:rPr>
          <w:rFonts w:ascii="宋体" w:hAnsi="宋体" w:hint="eastAsia"/>
          <w:lang w:val="zh-TW" w:eastAsia="zh-TW"/>
        </w:rPr>
        <w:t>余篇。参编</w:t>
      </w:r>
      <w:bookmarkStart w:id="0" w:name="_Hlk113603173"/>
      <w:r w:rsidRPr="00BC7F6D">
        <w:rPr>
          <w:rFonts w:ascii="宋体" w:hAnsi="宋体" w:hint="eastAsia"/>
          <w:lang w:val="zh-TW" w:eastAsia="zh-TW"/>
        </w:rPr>
        <w:t>《肺部肿瘤学》</w:t>
      </w:r>
      <w:bookmarkEnd w:id="0"/>
      <w:r w:rsidRPr="00BC7F6D">
        <w:rPr>
          <w:rFonts w:ascii="宋体" w:hAnsi="宋体" w:hint="eastAsia"/>
          <w:lang w:val="zh-TW" w:eastAsia="zh-TW"/>
        </w:rPr>
        <w:t>《临床病理诊断与鉴别诊断》等多部著作。参与制定常规免疫组织化学初筛ALK阳性非小细胞肺癌、中国非小细胞肺癌患者表皮生长因子受体基因突变检测、中国结核病病理学诊断、非小细胞肺癌新辅助治疗疗效病理评估专家共识及肺肉芽肿性疾病病理诊断原则及流程专家建议等多项专家共识。作为主要完成人分别荣获国家教育部科学进步二等奖、上海市抗癌科技奖一等奖及上海医学科技奖二等奖等奖项。</w:t>
      </w:r>
    </w:p>
    <w:p w14:paraId="53D51EDA" w14:textId="77777777" w:rsidR="002935C8" w:rsidRPr="00BC7F6D" w:rsidRDefault="00F8561A" w:rsidP="00BC7F6D">
      <w:pPr>
        <w:numPr>
          <w:ilvl w:val="0"/>
          <w:numId w:val="1"/>
        </w:numPr>
        <w:spacing w:line="360" w:lineRule="auto"/>
        <w:rPr>
          <w:rFonts w:ascii="宋体" w:hAnsi="宋体"/>
          <w:b/>
        </w:rPr>
      </w:pPr>
      <w:r w:rsidRPr="00BC7F6D">
        <w:rPr>
          <w:rFonts w:ascii="宋体" w:hAnsi="宋体" w:hint="eastAsia"/>
          <w:b/>
        </w:rPr>
        <w:t>团队简介</w:t>
      </w:r>
    </w:p>
    <w:p w14:paraId="320D61BF" w14:textId="21F9303B" w:rsidR="002935C8" w:rsidRPr="00BC7F6D" w:rsidRDefault="00D66554" w:rsidP="00BC7F6D">
      <w:pPr>
        <w:spacing w:line="360" w:lineRule="auto"/>
        <w:ind w:leftChars="200" w:left="420"/>
        <w:rPr>
          <w:rFonts w:ascii="宋体" w:hAnsi="宋体"/>
        </w:rPr>
      </w:pPr>
      <w:r w:rsidRPr="00BC7F6D">
        <w:rPr>
          <w:rFonts w:ascii="宋体" w:hAnsi="宋体" w:hint="eastAsia"/>
          <w:lang w:eastAsia="zh-Hans"/>
        </w:rPr>
        <w:t>武春燕</w:t>
      </w:r>
      <w:r w:rsidRPr="00BC7F6D">
        <w:rPr>
          <w:rFonts w:ascii="宋体" w:hAnsi="宋体" w:hint="eastAsia"/>
        </w:rPr>
        <w:t>教授团队，致力于胸肺部疾病的临床病理研究及转化应用。团队</w:t>
      </w:r>
      <w:r w:rsidR="00643BDC" w:rsidRPr="00BC7F6D">
        <w:rPr>
          <w:rFonts w:ascii="宋体" w:hAnsi="宋体" w:hint="eastAsia"/>
        </w:rPr>
        <w:t>在肺癌耐药机制、分子病理学、智能诊断及肺癌高危因素等方面展开了一系列研究，推动了学科的发展，在业界内产生了广泛的影响。</w:t>
      </w:r>
      <w:r w:rsidRPr="00BC7F6D">
        <w:rPr>
          <w:rFonts w:ascii="宋体" w:hAnsi="宋体" w:hint="eastAsia"/>
        </w:rPr>
        <w:t>团队立足于</w:t>
      </w:r>
      <w:r w:rsidR="00643BDC" w:rsidRPr="00BC7F6D">
        <w:rPr>
          <w:rFonts w:ascii="宋体" w:hAnsi="宋体" w:hint="eastAsia"/>
        </w:rPr>
        <w:t>学科发展的前沿，积极推动新理念和新技术的临床应用和相关临床试验的开展</w:t>
      </w:r>
      <w:r w:rsidR="00EB28BC" w:rsidRPr="00BC7F6D">
        <w:rPr>
          <w:rFonts w:ascii="宋体" w:hAnsi="宋体" w:hint="eastAsia"/>
        </w:rPr>
        <w:t>，</w:t>
      </w:r>
      <w:r w:rsidRPr="00BC7F6D">
        <w:rPr>
          <w:rFonts w:ascii="宋体" w:hAnsi="宋体" w:hint="eastAsia"/>
        </w:rPr>
        <w:t>专注于培养学科人才，</w:t>
      </w:r>
      <w:r w:rsidR="00EB28BC" w:rsidRPr="00BC7F6D">
        <w:rPr>
          <w:rFonts w:ascii="宋体" w:hAnsi="宋体" w:hint="eastAsia"/>
        </w:rPr>
        <w:t>使学科影响力达到国内领先水平。</w:t>
      </w:r>
    </w:p>
    <w:p w14:paraId="1B13DD1E" w14:textId="64514C39" w:rsidR="00EB28BC" w:rsidRPr="00BC7F6D" w:rsidRDefault="00EB28BC" w:rsidP="00BC7F6D">
      <w:pPr>
        <w:numPr>
          <w:ilvl w:val="0"/>
          <w:numId w:val="1"/>
        </w:numPr>
        <w:spacing w:line="276" w:lineRule="auto"/>
        <w:rPr>
          <w:rFonts w:ascii="宋体" w:hAnsi="宋体"/>
          <w:b/>
        </w:rPr>
      </w:pPr>
      <w:r w:rsidRPr="00BC7F6D">
        <w:rPr>
          <w:rFonts w:ascii="宋体" w:hAnsi="宋体" w:hint="eastAsia"/>
          <w:b/>
        </w:rPr>
        <w:t>主要论著</w:t>
      </w:r>
    </w:p>
    <w:p w14:paraId="712C9211" w14:textId="10CBA4DA" w:rsidR="00EB28BC" w:rsidRPr="00BC7F6D" w:rsidRDefault="00EB28BC" w:rsidP="00BC7F6D">
      <w:pPr>
        <w:pStyle w:val="ae"/>
        <w:numPr>
          <w:ilvl w:val="0"/>
          <w:numId w:val="3"/>
        </w:numPr>
        <w:spacing w:before="120" w:line="276" w:lineRule="auto"/>
        <w:ind w:firstLineChars="0"/>
        <w:jc w:val="both"/>
        <w:rPr>
          <w:sz w:val="21"/>
          <w:szCs w:val="21"/>
        </w:rPr>
      </w:pPr>
      <w:proofErr w:type="spellStart"/>
      <w:r w:rsidRPr="00BC7F6D">
        <w:rPr>
          <w:sz w:val="21"/>
          <w:szCs w:val="21"/>
        </w:rPr>
        <w:lastRenderedPageBreak/>
        <w:t>Xie</w:t>
      </w:r>
      <w:proofErr w:type="spellEnd"/>
      <w:r w:rsidRPr="00BC7F6D">
        <w:rPr>
          <w:sz w:val="21"/>
          <w:szCs w:val="21"/>
        </w:rPr>
        <w:t xml:space="preserve"> X, Fu CC, </w:t>
      </w:r>
      <w:proofErr w:type="spellStart"/>
      <w:r w:rsidRPr="00BC7F6D">
        <w:rPr>
          <w:sz w:val="21"/>
          <w:szCs w:val="21"/>
        </w:rPr>
        <w:t>Lv</w:t>
      </w:r>
      <w:proofErr w:type="spellEnd"/>
      <w:r w:rsidRPr="00BC7F6D">
        <w:rPr>
          <w:sz w:val="21"/>
          <w:szCs w:val="21"/>
        </w:rPr>
        <w:t xml:space="preserve"> L, Ye Q, Yu Y, Fang Q, Zhang L, Hou L, </w:t>
      </w:r>
      <w:r w:rsidRPr="00BC7F6D">
        <w:rPr>
          <w:b/>
          <w:bCs/>
          <w:sz w:val="21"/>
          <w:szCs w:val="21"/>
        </w:rPr>
        <w:t>Wu C</w:t>
      </w:r>
      <w:r w:rsidRPr="00BC7F6D">
        <w:rPr>
          <w:sz w:val="21"/>
          <w:szCs w:val="21"/>
        </w:rPr>
        <w:t xml:space="preserve">. Deep convolutional neural network-based classification of cancer cells on cytological pleural effusion images. Mod </w:t>
      </w:r>
      <w:proofErr w:type="spellStart"/>
      <w:r w:rsidRPr="00BC7F6D">
        <w:rPr>
          <w:sz w:val="21"/>
          <w:szCs w:val="21"/>
        </w:rPr>
        <w:t>Pathol</w:t>
      </w:r>
      <w:proofErr w:type="spellEnd"/>
      <w:r w:rsidRPr="00BC7F6D">
        <w:rPr>
          <w:sz w:val="21"/>
          <w:szCs w:val="21"/>
        </w:rPr>
        <w:t xml:space="preserve">. 2022 May;35(5):609-614. </w:t>
      </w:r>
    </w:p>
    <w:p w14:paraId="55EC78A1" w14:textId="08648FB3"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Hou L, Wang T, Chen D, She Y, Deng J, Yang M, Zhang Y, Zhao M, Zhong Y, Ma M, Zhao G, Chen Y, </w:t>
      </w:r>
      <w:proofErr w:type="spellStart"/>
      <w:r w:rsidRPr="00BC7F6D">
        <w:rPr>
          <w:sz w:val="21"/>
          <w:szCs w:val="21"/>
        </w:rPr>
        <w:t>Xie</w:t>
      </w:r>
      <w:proofErr w:type="spellEnd"/>
      <w:r w:rsidRPr="00BC7F6D">
        <w:rPr>
          <w:sz w:val="21"/>
          <w:szCs w:val="21"/>
        </w:rPr>
        <w:t xml:space="preserve"> D, Zhu Y, Chen Q, </w:t>
      </w:r>
      <w:r w:rsidRPr="00BC7F6D">
        <w:rPr>
          <w:b/>
          <w:bCs/>
          <w:sz w:val="21"/>
          <w:szCs w:val="21"/>
        </w:rPr>
        <w:t>Wu C</w:t>
      </w:r>
      <w:r w:rsidRPr="00BC7F6D">
        <w:rPr>
          <w:rFonts w:hint="eastAsia"/>
          <w:b/>
          <w:bCs/>
          <w:sz w:val="21"/>
          <w:szCs w:val="21"/>
        </w:rPr>
        <w:t>*</w:t>
      </w:r>
      <w:r w:rsidRPr="00BC7F6D">
        <w:rPr>
          <w:sz w:val="21"/>
          <w:szCs w:val="21"/>
        </w:rPr>
        <w:t>, Chen C</w:t>
      </w:r>
      <w:r w:rsidRPr="00BC7F6D">
        <w:rPr>
          <w:rFonts w:hint="eastAsia"/>
          <w:sz w:val="21"/>
          <w:szCs w:val="21"/>
        </w:rPr>
        <w:t>*</w:t>
      </w:r>
      <w:r w:rsidRPr="00BC7F6D">
        <w:rPr>
          <w:sz w:val="21"/>
          <w:szCs w:val="21"/>
        </w:rPr>
        <w:t xml:space="preserve">; Multi-omics Classifier for Pulmonary Nodules (MISSION) Collaborative Group. Prognostic and predictive value of the newly proposed grading system of invasive pulmonary adenocarcinoma in Chinese patients: a retrospective multicohort study. Mod </w:t>
      </w:r>
      <w:proofErr w:type="spellStart"/>
      <w:r w:rsidRPr="00BC7F6D">
        <w:rPr>
          <w:sz w:val="21"/>
          <w:szCs w:val="21"/>
        </w:rPr>
        <w:t>Pathol</w:t>
      </w:r>
      <w:proofErr w:type="spellEnd"/>
      <w:r w:rsidRPr="00BC7F6D">
        <w:rPr>
          <w:sz w:val="21"/>
          <w:szCs w:val="21"/>
        </w:rPr>
        <w:t xml:space="preserve">. 2022 Jun;35(6):749-756. </w:t>
      </w:r>
    </w:p>
    <w:p w14:paraId="6BDCAC66" w14:textId="577FFA82"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Zhao J, Sun L, Sun K, Wang T, Wang B, Yang Y, </w:t>
      </w:r>
      <w:r w:rsidRPr="00BC7F6D">
        <w:rPr>
          <w:b/>
          <w:bCs/>
          <w:sz w:val="21"/>
          <w:szCs w:val="21"/>
        </w:rPr>
        <w:t>Wu C</w:t>
      </w:r>
      <w:r w:rsidRPr="00BC7F6D">
        <w:rPr>
          <w:rFonts w:hint="eastAsia"/>
          <w:b/>
          <w:bCs/>
          <w:sz w:val="21"/>
          <w:szCs w:val="21"/>
        </w:rPr>
        <w:t>*</w:t>
      </w:r>
      <w:r w:rsidRPr="00BC7F6D">
        <w:rPr>
          <w:sz w:val="21"/>
          <w:szCs w:val="21"/>
        </w:rPr>
        <w:t>, Sun X</w:t>
      </w:r>
      <w:r w:rsidRPr="00BC7F6D">
        <w:rPr>
          <w:rFonts w:hint="eastAsia"/>
          <w:sz w:val="21"/>
          <w:szCs w:val="21"/>
        </w:rPr>
        <w:t>*</w:t>
      </w:r>
      <w:r w:rsidRPr="00BC7F6D">
        <w:rPr>
          <w:sz w:val="21"/>
          <w:szCs w:val="21"/>
        </w:rPr>
        <w:t xml:space="preserve">. Development and Validation of a Radiomics Nomogram for Differentiating Pulmonary Cryptococcosis and Lung Adenocarcinoma in Solitary Pulmonary Solid Nodule. Front Oncol. 2021 Nov </w:t>
      </w:r>
      <w:proofErr w:type="gramStart"/>
      <w:r w:rsidRPr="00BC7F6D">
        <w:rPr>
          <w:sz w:val="21"/>
          <w:szCs w:val="21"/>
        </w:rPr>
        <w:t>9;11:759840</w:t>
      </w:r>
      <w:proofErr w:type="gramEnd"/>
      <w:r w:rsidRPr="00BC7F6D">
        <w:rPr>
          <w:sz w:val="21"/>
          <w:szCs w:val="21"/>
        </w:rPr>
        <w:t xml:space="preserve">. </w:t>
      </w:r>
    </w:p>
    <w:p w14:paraId="0BCEC530" w14:textId="261E34F8"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Ma YS, Hou LK, Yao SH, Liu JB, Yu XC, Shi Y, Yang XL, Wu W, </w:t>
      </w:r>
      <w:r w:rsidRPr="00BC7F6D">
        <w:rPr>
          <w:b/>
          <w:bCs/>
          <w:sz w:val="21"/>
          <w:szCs w:val="21"/>
        </w:rPr>
        <w:t>Wu CY</w:t>
      </w:r>
      <w:r w:rsidRPr="00BC7F6D">
        <w:rPr>
          <w:rFonts w:hint="eastAsia"/>
          <w:b/>
          <w:bCs/>
          <w:sz w:val="21"/>
          <w:szCs w:val="21"/>
        </w:rPr>
        <w:t>*</w:t>
      </w:r>
      <w:r w:rsidRPr="00BC7F6D">
        <w:rPr>
          <w:sz w:val="21"/>
          <w:szCs w:val="21"/>
        </w:rPr>
        <w:t>, Jiang GX</w:t>
      </w:r>
      <w:r w:rsidRPr="00BC7F6D">
        <w:rPr>
          <w:rFonts w:hint="eastAsia"/>
          <w:sz w:val="21"/>
          <w:szCs w:val="21"/>
        </w:rPr>
        <w:t>*</w:t>
      </w:r>
      <w:r w:rsidRPr="00BC7F6D">
        <w:rPr>
          <w:sz w:val="21"/>
          <w:szCs w:val="21"/>
        </w:rPr>
        <w:t>, Fu D</w:t>
      </w:r>
      <w:r w:rsidRPr="00BC7F6D">
        <w:rPr>
          <w:rFonts w:hint="eastAsia"/>
          <w:sz w:val="21"/>
          <w:szCs w:val="21"/>
        </w:rPr>
        <w:t>*</w:t>
      </w:r>
      <w:r w:rsidRPr="00BC7F6D">
        <w:rPr>
          <w:sz w:val="21"/>
          <w:szCs w:val="21"/>
        </w:rPr>
        <w:t xml:space="preserve">. Elevated </w:t>
      </w:r>
      <w:proofErr w:type="spellStart"/>
      <w:r w:rsidRPr="00BC7F6D">
        <w:rPr>
          <w:sz w:val="21"/>
          <w:szCs w:val="21"/>
        </w:rPr>
        <w:t>Stratifin</w:t>
      </w:r>
      <w:proofErr w:type="spellEnd"/>
      <w:r w:rsidRPr="00BC7F6D">
        <w:rPr>
          <w:sz w:val="21"/>
          <w:szCs w:val="21"/>
        </w:rPr>
        <w:t xml:space="preserve"> promotes cisplatin-based chemotherapy failure and poor prognosis in non-small cell lung cancer. Mol </w:t>
      </w:r>
      <w:proofErr w:type="spellStart"/>
      <w:r w:rsidRPr="00BC7F6D">
        <w:rPr>
          <w:sz w:val="21"/>
          <w:szCs w:val="21"/>
        </w:rPr>
        <w:t>Ther</w:t>
      </w:r>
      <w:proofErr w:type="spellEnd"/>
      <w:r w:rsidRPr="00BC7F6D">
        <w:rPr>
          <w:sz w:val="21"/>
          <w:szCs w:val="21"/>
        </w:rPr>
        <w:t xml:space="preserve"> </w:t>
      </w:r>
      <w:proofErr w:type="spellStart"/>
      <w:r w:rsidRPr="00BC7F6D">
        <w:rPr>
          <w:sz w:val="21"/>
          <w:szCs w:val="21"/>
        </w:rPr>
        <w:t>Oncolytics</w:t>
      </w:r>
      <w:proofErr w:type="spellEnd"/>
      <w:r w:rsidRPr="00BC7F6D">
        <w:rPr>
          <w:sz w:val="21"/>
          <w:szCs w:val="21"/>
        </w:rPr>
        <w:t xml:space="preserve">. 2021 Jul </w:t>
      </w:r>
      <w:proofErr w:type="gramStart"/>
      <w:r w:rsidRPr="00BC7F6D">
        <w:rPr>
          <w:sz w:val="21"/>
          <w:szCs w:val="21"/>
        </w:rPr>
        <w:t>21;22:326</w:t>
      </w:r>
      <w:proofErr w:type="gramEnd"/>
      <w:r w:rsidRPr="00BC7F6D">
        <w:rPr>
          <w:sz w:val="21"/>
          <w:szCs w:val="21"/>
        </w:rPr>
        <w:t>-335.</w:t>
      </w:r>
    </w:p>
    <w:p w14:paraId="166F66EE" w14:textId="5DA844AA"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Guo J, Hou L, Zhang W, Dong Z, Zhang L, </w:t>
      </w:r>
      <w:r w:rsidRPr="00BC7F6D">
        <w:rPr>
          <w:b/>
          <w:bCs/>
          <w:sz w:val="21"/>
          <w:szCs w:val="21"/>
        </w:rPr>
        <w:t>Wu C</w:t>
      </w:r>
      <w:r w:rsidRPr="00BC7F6D">
        <w:rPr>
          <w:sz w:val="21"/>
          <w:szCs w:val="21"/>
        </w:rPr>
        <w:t xml:space="preserve">. Improving differential diagnosis of pulmonary large cell neuroendocrine carcinoma and small cell lung cancer via a transcriptomic, biological pathway-based machine learning model. </w:t>
      </w:r>
      <w:proofErr w:type="spellStart"/>
      <w:r w:rsidRPr="00BC7F6D">
        <w:rPr>
          <w:sz w:val="21"/>
          <w:szCs w:val="21"/>
        </w:rPr>
        <w:t>Transl</w:t>
      </w:r>
      <w:proofErr w:type="spellEnd"/>
      <w:r w:rsidRPr="00BC7F6D">
        <w:rPr>
          <w:sz w:val="21"/>
          <w:szCs w:val="21"/>
        </w:rPr>
        <w:t xml:space="preserve"> Oncol. 2021 Dec;14(12):101222. </w:t>
      </w:r>
    </w:p>
    <w:p w14:paraId="4ACC7D8B" w14:textId="39FFBC3A"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Zhou F, Huang Y, Cai W, Li J, </w:t>
      </w:r>
      <w:proofErr w:type="spellStart"/>
      <w:r w:rsidRPr="00BC7F6D">
        <w:rPr>
          <w:sz w:val="21"/>
          <w:szCs w:val="21"/>
        </w:rPr>
        <w:t>Su</w:t>
      </w:r>
      <w:proofErr w:type="spellEnd"/>
      <w:r w:rsidRPr="00BC7F6D">
        <w:rPr>
          <w:sz w:val="21"/>
          <w:szCs w:val="21"/>
        </w:rPr>
        <w:t xml:space="preserve"> C, Ren S, </w:t>
      </w:r>
      <w:r w:rsidRPr="00BC7F6D">
        <w:rPr>
          <w:b/>
          <w:bCs/>
          <w:sz w:val="21"/>
          <w:szCs w:val="21"/>
        </w:rPr>
        <w:t>Wu C</w:t>
      </w:r>
      <w:r w:rsidRPr="00BC7F6D">
        <w:rPr>
          <w:rFonts w:hint="eastAsia"/>
          <w:b/>
          <w:bCs/>
          <w:sz w:val="21"/>
          <w:szCs w:val="21"/>
        </w:rPr>
        <w:t>*</w:t>
      </w:r>
      <w:r w:rsidRPr="00BC7F6D">
        <w:rPr>
          <w:sz w:val="21"/>
          <w:szCs w:val="21"/>
        </w:rPr>
        <w:t>, Zhou C</w:t>
      </w:r>
      <w:r w:rsidRPr="00BC7F6D">
        <w:rPr>
          <w:rFonts w:hint="eastAsia"/>
          <w:sz w:val="21"/>
          <w:szCs w:val="21"/>
        </w:rPr>
        <w:t>*</w:t>
      </w:r>
      <w:r w:rsidRPr="00BC7F6D">
        <w:rPr>
          <w:sz w:val="21"/>
          <w:szCs w:val="21"/>
        </w:rPr>
        <w:t xml:space="preserve">. The genomic and immunologic profiles of pure pulmonary </w:t>
      </w:r>
      <w:proofErr w:type="spellStart"/>
      <w:r w:rsidRPr="00BC7F6D">
        <w:rPr>
          <w:sz w:val="21"/>
          <w:szCs w:val="21"/>
        </w:rPr>
        <w:t>sarcomatoid</w:t>
      </w:r>
      <w:proofErr w:type="spellEnd"/>
      <w:r w:rsidRPr="00BC7F6D">
        <w:rPr>
          <w:sz w:val="21"/>
          <w:szCs w:val="21"/>
        </w:rPr>
        <w:t xml:space="preserve"> carcinoma in Chinese patients. Lung Cancer. 2021 </w:t>
      </w:r>
      <w:proofErr w:type="gramStart"/>
      <w:r w:rsidRPr="00BC7F6D">
        <w:rPr>
          <w:sz w:val="21"/>
          <w:szCs w:val="21"/>
        </w:rPr>
        <w:t>Mar;153:66</w:t>
      </w:r>
      <w:proofErr w:type="gramEnd"/>
      <w:r w:rsidRPr="00BC7F6D">
        <w:rPr>
          <w:sz w:val="21"/>
          <w:szCs w:val="21"/>
        </w:rPr>
        <w:t>-72.</w:t>
      </w:r>
    </w:p>
    <w:p w14:paraId="21F92978" w14:textId="4C741915"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Chen J, Tan Y, Sun F, Hou L, Zhang C, Ge T, Yu H, Wu C, Zhu Y, Duan L, Wu L, Song N, Zhang L, Zhang W, Wang D, Chen C, </w:t>
      </w:r>
      <w:r w:rsidRPr="00BC7F6D">
        <w:rPr>
          <w:b/>
          <w:bCs/>
          <w:sz w:val="21"/>
          <w:szCs w:val="21"/>
        </w:rPr>
        <w:t>Wu C</w:t>
      </w:r>
      <w:r w:rsidRPr="00BC7F6D">
        <w:rPr>
          <w:rFonts w:hint="eastAsia"/>
          <w:b/>
          <w:bCs/>
          <w:sz w:val="21"/>
          <w:szCs w:val="21"/>
        </w:rPr>
        <w:t>*</w:t>
      </w:r>
      <w:r w:rsidRPr="00BC7F6D">
        <w:rPr>
          <w:sz w:val="21"/>
          <w:szCs w:val="21"/>
        </w:rPr>
        <w:t>, Jiang G</w:t>
      </w:r>
      <w:r w:rsidRPr="00BC7F6D">
        <w:rPr>
          <w:rFonts w:hint="eastAsia"/>
          <w:sz w:val="21"/>
          <w:szCs w:val="21"/>
        </w:rPr>
        <w:t>*</w:t>
      </w:r>
      <w:r w:rsidRPr="00BC7F6D">
        <w:rPr>
          <w:sz w:val="21"/>
          <w:szCs w:val="21"/>
        </w:rPr>
        <w:t>, Zhang P</w:t>
      </w:r>
      <w:r w:rsidRPr="00BC7F6D">
        <w:rPr>
          <w:rFonts w:hint="eastAsia"/>
          <w:sz w:val="21"/>
          <w:szCs w:val="21"/>
        </w:rPr>
        <w:t>*</w:t>
      </w:r>
      <w:r w:rsidRPr="00BC7F6D">
        <w:rPr>
          <w:sz w:val="21"/>
          <w:szCs w:val="21"/>
        </w:rPr>
        <w:t xml:space="preserve">. Single-cell transcriptome and antigen-immunoglobin analysis reveals the diversity of B cells in non-small cell lung cancer. Genome Biol. 2020 Jun 24;21(1):152. </w:t>
      </w:r>
    </w:p>
    <w:p w14:paraId="6EB8B09D" w14:textId="4C943010"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Wu W, Huang Y, Guo J, </w:t>
      </w:r>
      <w:proofErr w:type="spellStart"/>
      <w:r w:rsidRPr="00BC7F6D">
        <w:rPr>
          <w:sz w:val="21"/>
          <w:szCs w:val="21"/>
        </w:rPr>
        <w:t>Xie</w:t>
      </w:r>
      <w:proofErr w:type="spellEnd"/>
      <w:r w:rsidRPr="00BC7F6D">
        <w:rPr>
          <w:sz w:val="21"/>
          <w:szCs w:val="21"/>
        </w:rPr>
        <w:t xml:space="preserve"> X, Li H, Cao Z, Wei H, </w:t>
      </w:r>
      <w:r w:rsidRPr="00BC7F6D">
        <w:rPr>
          <w:b/>
          <w:bCs/>
          <w:sz w:val="21"/>
          <w:szCs w:val="21"/>
        </w:rPr>
        <w:t>Wu C</w:t>
      </w:r>
      <w:r w:rsidRPr="00BC7F6D">
        <w:rPr>
          <w:sz w:val="21"/>
          <w:szCs w:val="21"/>
        </w:rPr>
        <w:t xml:space="preserve">. Detection and comparison of EGFR mutations from supernatants that contain cell-free DNA and cell pellets from FNA non-small cell lung cancer specimens. Cancer </w:t>
      </w:r>
      <w:proofErr w:type="spellStart"/>
      <w:r w:rsidRPr="00BC7F6D">
        <w:rPr>
          <w:sz w:val="21"/>
          <w:szCs w:val="21"/>
        </w:rPr>
        <w:t>Cytopathol</w:t>
      </w:r>
      <w:proofErr w:type="spellEnd"/>
      <w:r w:rsidRPr="00BC7F6D">
        <w:rPr>
          <w:sz w:val="21"/>
          <w:szCs w:val="21"/>
        </w:rPr>
        <w:t>. 2020 Aug;128(8):545-552.</w:t>
      </w:r>
    </w:p>
    <w:p w14:paraId="3E5C76F0" w14:textId="65FD3F41"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Jiang T, Shi J, Dong Z, Hou L, Zhao C, Li X, Mao B, Zhu W, Guo X, Zhang H, He J, Chen X, </w:t>
      </w:r>
      <w:proofErr w:type="spellStart"/>
      <w:r w:rsidRPr="00BC7F6D">
        <w:rPr>
          <w:sz w:val="21"/>
          <w:szCs w:val="21"/>
        </w:rPr>
        <w:t>Su</w:t>
      </w:r>
      <w:proofErr w:type="spellEnd"/>
      <w:r w:rsidRPr="00BC7F6D">
        <w:rPr>
          <w:sz w:val="21"/>
          <w:szCs w:val="21"/>
        </w:rPr>
        <w:t xml:space="preserve"> C, Ren S, </w:t>
      </w:r>
      <w:r w:rsidRPr="00BC7F6D">
        <w:rPr>
          <w:b/>
          <w:bCs/>
          <w:sz w:val="21"/>
          <w:szCs w:val="21"/>
        </w:rPr>
        <w:t>Wu C</w:t>
      </w:r>
      <w:r w:rsidRPr="00BC7F6D">
        <w:rPr>
          <w:rFonts w:hint="eastAsia"/>
          <w:b/>
          <w:bCs/>
          <w:sz w:val="21"/>
          <w:szCs w:val="21"/>
        </w:rPr>
        <w:t>*</w:t>
      </w:r>
      <w:r w:rsidRPr="00BC7F6D">
        <w:rPr>
          <w:sz w:val="21"/>
          <w:szCs w:val="21"/>
        </w:rPr>
        <w:t>, Zhou C</w:t>
      </w:r>
      <w:r w:rsidRPr="00BC7F6D">
        <w:rPr>
          <w:rFonts w:hint="eastAsia"/>
          <w:sz w:val="21"/>
          <w:szCs w:val="21"/>
        </w:rPr>
        <w:t>*</w:t>
      </w:r>
      <w:r w:rsidRPr="00BC7F6D">
        <w:rPr>
          <w:sz w:val="21"/>
          <w:szCs w:val="21"/>
        </w:rPr>
        <w:t xml:space="preserve">. Genomic landscape and its correlations with tumor mutational burden, PD-L1 expression, and immune cells infiltration in Chinese lung squamous cell carcinoma. J </w:t>
      </w:r>
      <w:proofErr w:type="spellStart"/>
      <w:r w:rsidRPr="00BC7F6D">
        <w:rPr>
          <w:sz w:val="21"/>
          <w:szCs w:val="21"/>
        </w:rPr>
        <w:t>Hematol</w:t>
      </w:r>
      <w:proofErr w:type="spellEnd"/>
      <w:r w:rsidRPr="00BC7F6D">
        <w:rPr>
          <w:sz w:val="21"/>
          <w:szCs w:val="21"/>
        </w:rPr>
        <w:t xml:space="preserve"> Oncol. 2019 Jul 12;12(1):75. </w:t>
      </w:r>
    </w:p>
    <w:p w14:paraId="7C4BB16C" w14:textId="35F24D74" w:rsidR="00EB28BC" w:rsidRPr="00BC7F6D" w:rsidRDefault="00EB28BC" w:rsidP="00BC7F6D">
      <w:pPr>
        <w:pStyle w:val="ae"/>
        <w:numPr>
          <w:ilvl w:val="0"/>
          <w:numId w:val="3"/>
        </w:numPr>
        <w:spacing w:before="120" w:line="276" w:lineRule="auto"/>
        <w:ind w:firstLineChars="0"/>
        <w:jc w:val="both"/>
        <w:rPr>
          <w:sz w:val="21"/>
          <w:szCs w:val="21"/>
        </w:rPr>
      </w:pPr>
      <w:r w:rsidRPr="00BC7F6D">
        <w:rPr>
          <w:sz w:val="21"/>
          <w:szCs w:val="21"/>
        </w:rPr>
        <w:t xml:space="preserve">Ma YS, Yu F, Zhong XM, Lu GX, Cong XL, </w:t>
      </w:r>
      <w:proofErr w:type="spellStart"/>
      <w:r w:rsidRPr="00BC7F6D">
        <w:rPr>
          <w:sz w:val="21"/>
          <w:szCs w:val="21"/>
        </w:rPr>
        <w:t>Xue</w:t>
      </w:r>
      <w:proofErr w:type="spellEnd"/>
      <w:r w:rsidRPr="00BC7F6D">
        <w:rPr>
          <w:sz w:val="21"/>
          <w:szCs w:val="21"/>
        </w:rPr>
        <w:t xml:space="preserve"> SB, </w:t>
      </w:r>
      <w:proofErr w:type="spellStart"/>
      <w:r w:rsidRPr="00BC7F6D">
        <w:rPr>
          <w:sz w:val="21"/>
          <w:szCs w:val="21"/>
        </w:rPr>
        <w:t>Xie</w:t>
      </w:r>
      <w:proofErr w:type="spellEnd"/>
      <w:r w:rsidRPr="00BC7F6D">
        <w:rPr>
          <w:sz w:val="21"/>
          <w:szCs w:val="21"/>
        </w:rPr>
        <w:t xml:space="preserve"> WT, Hou LK, Pang LJ, Wu W, Zhang W, Cong LL, Liu T, Long HD, Sun R, Sun HY, </w:t>
      </w:r>
      <w:proofErr w:type="spellStart"/>
      <w:r w:rsidRPr="00BC7F6D">
        <w:rPr>
          <w:sz w:val="21"/>
          <w:szCs w:val="21"/>
        </w:rPr>
        <w:t>Lv</w:t>
      </w:r>
      <w:proofErr w:type="spellEnd"/>
      <w:r w:rsidRPr="00BC7F6D">
        <w:rPr>
          <w:sz w:val="21"/>
          <w:szCs w:val="21"/>
        </w:rPr>
        <w:t xml:space="preserve"> ZW, </w:t>
      </w:r>
      <w:r w:rsidRPr="00BC7F6D">
        <w:rPr>
          <w:b/>
          <w:bCs/>
          <w:sz w:val="21"/>
          <w:szCs w:val="21"/>
        </w:rPr>
        <w:t>Wu CY</w:t>
      </w:r>
      <w:r w:rsidRPr="00BC7F6D">
        <w:rPr>
          <w:rFonts w:hint="eastAsia"/>
          <w:b/>
          <w:bCs/>
          <w:sz w:val="21"/>
          <w:szCs w:val="21"/>
        </w:rPr>
        <w:t>*</w:t>
      </w:r>
      <w:r w:rsidRPr="00BC7F6D">
        <w:rPr>
          <w:sz w:val="21"/>
          <w:szCs w:val="21"/>
        </w:rPr>
        <w:t>, Fu D</w:t>
      </w:r>
      <w:r w:rsidRPr="00BC7F6D">
        <w:rPr>
          <w:rFonts w:hint="eastAsia"/>
          <w:sz w:val="21"/>
          <w:szCs w:val="21"/>
        </w:rPr>
        <w:t>*</w:t>
      </w:r>
      <w:r w:rsidRPr="00BC7F6D">
        <w:rPr>
          <w:sz w:val="21"/>
          <w:szCs w:val="21"/>
        </w:rPr>
        <w:t xml:space="preserve">. miR-30 Family Reduction Maintains Self-Renewal and Promotes Tumorigenesis in NSCLC-Initiating Cells by Targeting Oncogene TM4SF1. Mol </w:t>
      </w:r>
      <w:proofErr w:type="spellStart"/>
      <w:r w:rsidRPr="00BC7F6D">
        <w:rPr>
          <w:sz w:val="21"/>
          <w:szCs w:val="21"/>
        </w:rPr>
        <w:t>Ther</w:t>
      </w:r>
      <w:proofErr w:type="spellEnd"/>
      <w:r w:rsidRPr="00BC7F6D">
        <w:rPr>
          <w:sz w:val="21"/>
          <w:szCs w:val="21"/>
        </w:rPr>
        <w:t>. 2018 Dec 5;26(12):2751-2765.</w:t>
      </w:r>
    </w:p>
    <w:p w14:paraId="5DD4A002" w14:textId="39F88540" w:rsidR="00EB28BC" w:rsidRPr="00BC7F6D" w:rsidRDefault="00EB28BC" w:rsidP="00BC7F6D">
      <w:pPr>
        <w:pStyle w:val="ae"/>
        <w:numPr>
          <w:ilvl w:val="0"/>
          <w:numId w:val="3"/>
        </w:numPr>
        <w:spacing w:before="120" w:line="276" w:lineRule="auto"/>
        <w:ind w:firstLineChars="0"/>
        <w:jc w:val="both"/>
        <w:rPr>
          <w:b/>
          <w:sz w:val="21"/>
          <w:szCs w:val="21"/>
        </w:rPr>
      </w:pPr>
      <w:r w:rsidRPr="00BC7F6D">
        <w:rPr>
          <w:sz w:val="21"/>
          <w:szCs w:val="21"/>
        </w:rPr>
        <w:lastRenderedPageBreak/>
        <w:t xml:space="preserve">Yu F, Liu JB, Wu ZJ, </w:t>
      </w:r>
      <w:proofErr w:type="spellStart"/>
      <w:r w:rsidRPr="00BC7F6D">
        <w:rPr>
          <w:sz w:val="21"/>
          <w:szCs w:val="21"/>
        </w:rPr>
        <w:t>Xie</w:t>
      </w:r>
      <w:proofErr w:type="spellEnd"/>
      <w:r w:rsidRPr="00BC7F6D">
        <w:rPr>
          <w:sz w:val="21"/>
          <w:szCs w:val="21"/>
        </w:rPr>
        <w:t xml:space="preserve"> WT, Zhong XJ, Hou LK, Wu W, Lu HM, Jiang XH, Jiang JJ, Cao ZY, Cong GJ, Shi MX, Jia CY, Lu GX, Song YC, Chai L, </w:t>
      </w:r>
      <w:proofErr w:type="spellStart"/>
      <w:r w:rsidRPr="00BC7F6D">
        <w:rPr>
          <w:sz w:val="21"/>
          <w:szCs w:val="21"/>
        </w:rPr>
        <w:t>Lv</w:t>
      </w:r>
      <w:proofErr w:type="spellEnd"/>
      <w:r w:rsidRPr="00BC7F6D">
        <w:rPr>
          <w:sz w:val="21"/>
          <w:szCs w:val="21"/>
        </w:rPr>
        <w:t xml:space="preserve"> ZW, </w:t>
      </w:r>
      <w:r w:rsidRPr="00BC7F6D">
        <w:rPr>
          <w:b/>
          <w:bCs/>
          <w:sz w:val="21"/>
          <w:szCs w:val="21"/>
        </w:rPr>
        <w:t>Wu CY</w:t>
      </w:r>
      <w:r w:rsidRPr="00BC7F6D">
        <w:rPr>
          <w:rFonts w:hint="eastAsia"/>
          <w:b/>
          <w:bCs/>
          <w:sz w:val="21"/>
          <w:szCs w:val="21"/>
        </w:rPr>
        <w:t>*</w:t>
      </w:r>
      <w:r w:rsidRPr="00BC7F6D">
        <w:rPr>
          <w:sz w:val="21"/>
          <w:szCs w:val="21"/>
        </w:rPr>
        <w:t>, Ma YS</w:t>
      </w:r>
      <w:r w:rsidRPr="00BC7F6D">
        <w:rPr>
          <w:rFonts w:hint="eastAsia"/>
          <w:sz w:val="21"/>
          <w:szCs w:val="21"/>
        </w:rPr>
        <w:t>*</w:t>
      </w:r>
      <w:r w:rsidRPr="00BC7F6D">
        <w:rPr>
          <w:sz w:val="21"/>
          <w:szCs w:val="21"/>
        </w:rPr>
        <w:t>, Fu D</w:t>
      </w:r>
      <w:r w:rsidRPr="00BC7F6D">
        <w:rPr>
          <w:rFonts w:hint="eastAsia"/>
          <w:sz w:val="21"/>
          <w:szCs w:val="21"/>
        </w:rPr>
        <w:t>*</w:t>
      </w:r>
      <w:r w:rsidRPr="00BC7F6D">
        <w:rPr>
          <w:sz w:val="21"/>
          <w:szCs w:val="21"/>
        </w:rPr>
        <w:t xml:space="preserve">. Tumor suppressive microRNA-124a inhibits stemness and enhances gefitinib sensitivity of non-small cell lung cancer cells by targeting ubiquitin-specific protease 14. Cancer Lett. 2018 Jul </w:t>
      </w:r>
      <w:proofErr w:type="gramStart"/>
      <w:r w:rsidRPr="00BC7F6D">
        <w:rPr>
          <w:sz w:val="21"/>
          <w:szCs w:val="21"/>
        </w:rPr>
        <w:t>28;427:74</w:t>
      </w:r>
      <w:proofErr w:type="gramEnd"/>
      <w:r w:rsidRPr="00BC7F6D">
        <w:rPr>
          <w:sz w:val="21"/>
          <w:szCs w:val="21"/>
        </w:rPr>
        <w:t xml:space="preserve">-84. </w:t>
      </w:r>
    </w:p>
    <w:sectPr w:rsidR="00EB28BC" w:rsidRPr="00BC7F6D" w:rsidSect="00BC7F6D">
      <w:pgSz w:w="11906" w:h="16838"/>
      <w:pgMar w:top="1135" w:right="1274" w:bottom="1276"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0377" w14:textId="77777777" w:rsidR="00293B3A" w:rsidRDefault="00293B3A" w:rsidP="00BC7F6D">
      <w:r>
        <w:separator/>
      </w:r>
    </w:p>
  </w:endnote>
  <w:endnote w:type="continuationSeparator" w:id="0">
    <w:p w14:paraId="31A640A0" w14:textId="77777777" w:rsidR="00293B3A" w:rsidRDefault="00293B3A" w:rsidP="00BC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3FC8" w14:textId="77777777" w:rsidR="00293B3A" w:rsidRDefault="00293B3A" w:rsidP="00BC7F6D">
      <w:r>
        <w:separator/>
      </w:r>
    </w:p>
  </w:footnote>
  <w:footnote w:type="continuationSeparator" w:id="0">
    <w:p w14:paraId="0B5D1951" w14:textId="77777777" w:rsidR="00293B3A" w:rsidRDefault="00293B3A" w:rsidP="00BC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5B34"/>
    <w:multiLevelType w:val="multilevel"/>
    <w:tmpl w:val="BBCE5DD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F0C7041"/>
    <w:multiLevelType w:val="multilevel"/>
    <w:tmpl w:val="3F0C70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133091D"/>
    <w:multiLevelType w:val="hybridMultilevel"/>
    <w:tmpl w:val="70562036"/>
    <w:lvl w:ilvl="0" w:tplc="2FB46210">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09656238">
    <w:abstractNumId w:val="1"/>
  </w:num>
  <w:num w:numId="2" w16cid:durableId="448546590">
    <w:abstractNumId w:val="2"/>
  </w:num>
  <w:num w:numId="3" w16cid:durableId="212665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A1"/>
    <w:rsid w:val="B745A362"/>
    <w:rsid w:val="00002304"/>
    <w:rsid w:val="0002366E"/>
    <w:rsid w:val="00035E95"/>
    <w:rsid w:val="00060AF6"/>
    <w:rsid w:val="000758CB"/>
    <w:rsid w:val="00076D67"/>
    <w:rsid w:val="000814DA"/>
    <w:rsid w:val="00086BFB"/>
    <w:rsid w:val="000A328F"/>
    <w:rsid w:val="000A6181"/>
    <w:rsid w:val="000E2B71"/>
    <w:rsid w:val="000E759C"/>
    <w:rsid w:val="000F1E92"/>
    <w:rsid w:val="00113B2C"/>
    <w:rsid w:val="00132A47"/>
    <w:rsid w:val="0014067A"/>
    <w:rsid w:val="0014378E"/>
    <w:rsid w:val="00174537"/>
    <w:rsid w:val="00176106"/>
    <w:rsid w:val="001832A8"/>
    <w:rsid w:val="001925E5"/>
    <w:rsid w:val="00196F29"/>
    <w:rsid w:val="001A23E6"/>
    <w:rsid w:val="001A524C"/>
    <w:rsid w:val="001B58C2"/>
    <w:rsid w:val="001D5C8C"/>
    <w:rsid w:val="001E316B"/>
    <w:rsid w:val="001E316D"/>
    <w:rsid w:val="001E326C"/>
    <w:rsid w:val="001E5473"/>
    <w:rsid w:val="00200EE1"/>
    <w:rsid w:val="002132C1"/>
    <w:rsid w:val="00222B08"/>
    <w:rsid w:val="00232094"/>
    <w:rsid w:val="00251D33"/>
    <w:rsid w:val="0027043C"/>
    <w:rsid w:val="002723EC"/>
    <w:rsid w:val="00273E89"/>
    <w:rsid w:val="002764F1"/>
    <w:rsid w:val="0029164D"/>
    <w:rsid w:val="002935C8"/>
    <w:rsid w:val="00293B3A"/>
    <w:rsid w:val="002A3660"/>
    <w:rsid w:val="002B3D5D"/>
    <w:rsid w:val="002B6BDA"/>
    <w:rsid w:val="002C358E"/>
    <w:rsid w:val="002F5C51"/>
    <w:rsid w:val="00311092"/>
    <w:rsid w:val="00324007"/>
    <w:rsid w:val="003242B1"/>
    <w:rsid w:val="00335A39"/>
    <w:rsid w:val="0034549B"/>
    <w:rsid w:val="003856B2"/>
    <w:rsid w:val="003A7018"/>
    <w:rsid w:val="003A7281"/>
    <w:rsid w:val="003B1F07"/>
    <w:rsid w:val="003C1206"/>
    <w:rsid w:val="00410468"/>
    <w:rsid w:val="00422DBC"/>
    <w:rsid w:val="00430EB8"/>
    <w:rsid w:val="00435937"/>
    <w:rsid w:val="00444C80"/>
    <w:rsid w:val="004504A1"/>
    <w:rsid w:val="0046327A"/>
    <w:rsid w:val="004667F1"/>
    <w:rsid w:val="0047269A"/>
    <w:rsid w:val="00481252"/>
    <w:rsid w:val="00483665"/>
    <w:rsid w:val="0048662A"/>
    <w:rsid w:val="00496120"/>
    <w:rsid w:val="004A1775"/>
    <w:rsid w:val="004A47D4"/>
    <w:rsid w:val="004D4053"/>
    <w:rsid w:val="004E3394"/>
    <w:rsid w:val="004F2673"/>
    <w:rsid w:val="00520F23"/>
    <w:rsid w:val="00526673"/>
    <w:rsid w:val="00536D73"/>
    <w:rsid w:val="00572221"/>
    <w:rsid w:val="00573B4E"/>
    <w:rsid w:val="00595BC8"/>
    <w:rsid w:val="005A4857"/>
    <w:rsid w:val="005A490E"/>
    <w:rsid w:val="005C2C6E"/>
    <w:rsid w:val="005C6A0D"/>
    <w:rsid w:val="005F5C2B"/>
    <w:rsid w:val="00604045"/>
    <w:rsid w:val="00606FCF"/>
    <w:rsid w:val="006264A7"/>
    <w:rsid w:val="00633693"/>
    <w:rsid w:val="0064108C"/>
    <w:rsid w:val="00642651"/>
    <w:rsid w:val="00643BDC"/>
    <w:rsid w:val="00646725"/>
    <w:rsid w:val="00687C0C"/>
    <w:rsid w:val="00690452"/>
    <w:rsid w:val="00696B46"/>
    <w:rsid w:val="006B1FBA"/>
    <w:rsid w:val="006B4388"/>
    <w:rsid w:val="006D0F3E"/>
    <w:rsid w:val="006D51B3"/>
    <w:rsid w:val="006D5D0C"/>
    <w:rsid w:val="006E4643"/>
    <w:rsid w:val="00717249"/>
    <w:rsid w:val="00722435"/>
    <w:rsid w:val="00731A83"/>
    <w:rsid w:val="0073502E"/>
    <w:rsid w:val="00756348"/>
    <w:rsid w:val="00764943"/>
    <w:rsid w:val="007721D7"/>
    <w:rsid w:val="00790949"/>
    <w:rsid w:val="007C0E15"/>
    <w:rsid w:val="007C5896"/>
    <w:rsid w:val="007E0905"/>
    <w:rsid w:val="007E25FC"/>
    <w:rsid w:val="00812729"/>
    <w:rsid w:val="0085268E"/>
    <w:rsid w:val="00875C9D"/>
    <w:rsid w:val="00881534"/>
    <w:rsid w:val="0088677D"/>
    <w:rsid w:val="008A4CC8"/>
    <w:rsid w:val="008B56E2"/>
    <w:rsid w:val="008C2C38"/>
    <w:rsid w:val="008E6386"/>
    <w:rsid w:val="008E6AC3"/>
    <w:rsid w:val="008F0478"/>
    <w:rsid w:val="008F1443"/>
    <w:rsid w:val="008F7BAE"/>
    <w:rsid w:val="00907C69"/>
    <w:rsid w:val="00922C7C"/>
    <w:rsid w:val="0093022F"/>
    <w:rsid w:val="00935D7A"/>
    <w:rsid w:val="009548DD"/>
    <w:rsid w:val="009B3B10"/>
    <w:rsid w:val="009C3B54"/>
    <w:rsid w:val="009D0720"/>
    <w:rsid w:val="009D6381"/>
    <w:rsid w:val="009F5886"/>
    <w:rsid w:val="009F5EF6"/>
    <w:rsid w:val="00A0055C"/>
    <w:rsid w:val="00A06447"/>
    <w:rsid w:val="00A255C4"/>
    <w:rsid w:val="00A32731"/>
    <w:rsid w:val="00A64962"/>
    <w:rsid w:val="00A76E80"/>
    <w:rsid w:val="00A856D4"/>
    <w:rsid w:val="00A9479B"/>
    <w:rsid w:val="00A96EB7"/>
    <w:rsid w:val="00AB2944"/>
    <w:rsid w:val="00AD1188"/>
    <w:rsid w:val="00AD56DD"/>
    <w:rsid w:val="00AE3347"/>
    <w:rsid w:val="00AF7085"/>
    <w:rsid w:val="00AF726C"/>
    <w:rsid w:val="00B070A9"/>
    <w:rsid w:val="00B10DC9"/>
    <w:rsid w:val="00B44D96"/>
    <w:rsid w:val="00B46C6F"/>
    <w:rsid w:val="00B540B4"/>
    <w:rsid w:val="00B571FE"/>
    <w:rsid w:val="00B73065"/>
    <w:rsid w:val="00B75F6C"/>
    <w:rsid w:val="00B86A3F"/>
    <w:rsid w:val="00B95EF4"/>
    <w:rsid w:val="00BA2918"/>
    <w:rsid w:val="00BC6977"/>
    <w:rsid w:val="00BC7F6D"/>
    <w:rsid w:val="00BD3C55"/>
    <w:rsid w:val="00BD79C3"/>
    <w:rsid w:val="00BE7E05"/>
    <w:rsid w:val="00BF046E"/>
    <w:rsid w:val="00C34B00"/>
    <w:rsid w:val="00C42D72"/>
    <w:rsid w:val="00C45614"/>
    <w:rsid w:val="00C458EE"/>
    <w:rsid w:val="00C62408"/>
    <w:rsid w:val="00C77303"/>
    <w:rsid w:val="00C87705"/>
    <w:rsid w:val="00C94F3D"/>
    <w:rsid w:val="00C97966"/>
    <w:rsid w:val="00CB5F95"/>
    <w:rsid w:val="00CC304D"/>
    <w:rsid w:val="00CE2B16"/>
    <w:rsid w:val="00CF0736"/>
    <w:rsid w:val="00D100A1"/>
    <w:rsid w:val="00D14052"/>
    <w:rsid w:val="00D217E8"/>
    <w:rsid w:val="00D221D6"/>
    <w:rsid w:val="00D266A6"/>
    <w:rsid w:val="00D279F1"/>
    <w:rsid w:val="00D366AB"/>
    <w:rsid w:val="00D43430"/>
    <w:rsid w:val="00D46316"/>
    <w:rsid w:val="00D53234"/>
    <w:rsid w:val="00D66554"/>
    <w:rsid w:val="00D9053D"/>
    <w:rsid w:val="00DA787A"/>
    <w:rsid w:val="00DC2CEC"/>
    <w:rsid w:val="00DC2EC3"/>
    <w:rsid w:val="00DD096B"/>
    <w:rsid w:val="00DD4BA7"/>
    <w:rsid w:val="00DF3C96"/>
    <w:rsid w:val="00DF4A2F"/>
    <w:rsid w:val="00E15822"/>
    <w:rsid w:val="00E16950"/>
    <w:rsid w:val="00E20CDC"/>
    <w:rsid w:val="00E223D0"/>
    <w:rsid w:val="00E3299A"/>
    <w:rsid w:val="00E3680A"/>
    <w:rsid w:val="00E4383D"/>
    <w:rsid w:val="00E6392F"/>
    <w:rsid w:val="00E643DF"/>
    <w:rsid w:val="00E72404"/>
    <w:rsid w:val="00E83B28"/>
    <w:rsid w:val="00EB1D2E"/>
    <w:rsid w:val="00EB28BC"/>
    <w:rsid w:val="00EF0E6A"/>
    <w:rsid w:val="00F15E68"/>
    <w:rsid w:val="00F30E6C"/>
    <w:rsid w:val="00F37ED1"/>
    <w:rsid w:val="00F4142B"/>
    <w:rsid w:val="00F45163"/>
    <w:rsid w:val="00F51566"/>
    <w:rsid w:val="00F8561A"/>
    <w:rsid w:val="00F94BBB"/>
    <w:rsid w:val="00FA6036"/>
    <w:rsid w:val="00FB318E"/>
    <w:rsid w:val="00FB4942"/>
    <w:rsid w:val="00FC00D7"/>
    <w:rsid w:val="00FC2069"/>
    <w:rsid w:val="00FC25C9"/>
    <w:rsid w:val="00FD05D8"/>
    <w:rsid w:val="00FD4E05"/>
    <w:rsid w:val="00FE6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10FE4A"/>
  <w15:docId w15:val="{435A1B9A-98F9-4E95-B507-B908AF1A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Strong"/>
    <w:uiPriority w:val="99"/>
    <w:qFormat/>
    <w:rPr>
      <w:b/>
      <w:bCs/>
    </w:rPr>
  </w:style>
  <w:style w:type="character" w:styleId="aa">
    <w:name w:val="Hyperlink"/>
    <w:basedOn w:val="a0"/>
    <w:uiPriority w:val="99"/>
    <w:unhideWhenUsed/>
    <w:qFormat/>
    <w:rPr>
      <w:color w:val="0000FF" w:themeColor="hyperlink"/>
      <w:u w:val="single"/>
    </w:rPr>
  </w:style>
  <w:style w:type="table" w:styleId="ab">
    <w:name w:val="Table Grid"/>
    <w:basedOn w:val="a1"/>
    <w:unhideWhenUsed/>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link w:val="a7"/>
    <w:uiPriority w:val="99"/>
    <w:qFormat/>
    <w:locked/>
    <w:rPr>
      <w:sz w:val="18"/>
      <w:szCs w:val="18"/>
    </w:rPr>
  </w:style>
  <w:style w:type="character" w:customStyle="1" w:styleId="a6">
    <w:name w:val="页脚 字符"/>
    <w:link w:val="a5"/>
    <w:uiPriority w:val="99"/>
    <w:qFormat/>
    <w:locked/>
    <w:rPr>
      <w:sz w:val="18"/>
      <w:szCs w:val="18"/>
    </w:rPr>
  </w:style>
  <w:style w:type="paragraph" w:customStyle="1" w:styleId="1">
    <w:name w:val="列表段落1"/>
    <w:basedOn w:val="a"/>
    <w:uiPriority w:val="99"/>
    <w:qFormat/>
    <w:pPr>
      <w:ind w:firstLineChars="200" w:firstLine="420"/>
    </w:pPr>
  </w:style>
  <w:style w:type="character" w:customStyle="1" w:styleId="a4">
    <w:name w:val="批注框文本 字符"/>
    <w:link w:val="a3"/>
    <w:uiPriority w:val="99"/>
    <w:semiHidden/>
    <w:qFormat/>
    <w:locked/>
    <w:rPr>
      <w:rFonts w:ascii="Times New Roman" w:eastAsia="宋体" w:hAnsi="Times New Roman" w:cs="Times New Roman"/>
      <w:sz w:val="18"/>
      <w:szCs w:val="18"/>
    </w:rPr>
  </w:style>
  <w:style w:type="paragraph" w:customStyle="1" w:styleId="Ac">
    <w:name w:val="正文 A"/>
    <w:qFormat/>
    <w:pPr>
      <w:framePr w:wrap="around" w:hAnchor="text"/>
      <w:widowControl w:val="0"/>
      <w:spacing w:after="200" w:line="276" w:lineRule="auto"/>
      <w:jc w:val="both"/>
    </w:pPr>
    <w:rPr>
      <w:rFonts w:ascii="Arial Unicode MS" w:eastAsia="Arial Unicode MS" w:hAnsi="Arial Unicode MS" w:cs="Arial Unicode MS" w:hint="eastAsia"/>
      <w:color w:val="000000"/>
      <w:kern w:val="2"/>
      <w:sz w:val="21"/>
      <w:szCs w:val="21"/>
      <w:u w:color="000000"/>
    </w:rPr>
  </w:style>
  <w:style w:type="character" w:customStyle="1" w:styleId="ad">
    <w:name w:val="无"/>
    <w:qFormat/>
  </w:style>
  <w:style w:type="paragraph" w:styleId="ae">
    <w:name w:val="List Paragraph"/>
    <w:basedOn w:val="a"/>
    <w:uiPriority w:val="34"/>
    <w:qFormat/>
    <w:rsid w:val="00EB28BC"/>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574</Words>
  <Characters>3276</Characters>
  <Application>Microsoft Office Word</Application>
  <DocSecurity>0</DocSecurity>
  <Lines>27</Lines>
  <Paragraphs>7</Paragraphs>
  <ScaleCrop>false</ScaleCrop>
  <Company>同济大学医学院</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29</cp:revision>
  <cp:lastPrinted>2021-03-31T08:56:00Z</cp:lastPrinted>
  <dcterms:created xsi:type="dcterms:W3CDTF">2022-01-13T15:19:00Z</dcterms:created>
  <dcterms:modified xsi:type="dcterms:W3CDTF">2022-09-09T00:12:00Z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ies>
</file>