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44"/>
          <w:szCs w:val="44"/>
        </w:rPr>
        <w:t>导师个人简历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1731645</wp:posOffset>
            </wp:positionH>
            <wp:positionV relativeFrom="paragraph">
              <wp:posOffset>28575</wp:posOffset>
            </wp:positionV>
            <wp:extent cx="1872615" cy="2638425"/>
            <wp:effectExtent l="0" t="0" r="3810" b="0"/>
            <wp:wrapTopAndBottom/>
            <wp:docPr id="1" name="图片 1" descr="头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头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7261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sz w:val="28"/>
          <w:szCs w:val="28"/>
        </w:rPr>
        <w:t>一、基本情况</w:t>
      </w:r>
      <w:bookmarkStart w:id="0" w:name="_GoBack"/>
      <w:bookmarkEnd w:id="0"/>
    </w:p>
    <w:p>
      <w:pPr>
        <w:spacing w:line="360" w:lineRule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姓名：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揭由坤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科室：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病理科</w:t>
      </w:r>
    </w:p>
    <w:p>
      <w:p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职称：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副主任医师   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职务：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病理科副主任</w:t>
      </w:r>
    </w:p>
    <w:p>
      <w:p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导师类别：专业型硕士研究生导师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电子邮箱：</w:t>
      </w:r>
      <w:r>
        <w:rPr>
          <w:rFonts w:hint="default" w:ascii="Times New Roman" w:hAnsi="Times New Roman" w:eastAsia="仿宋" w:cs="Times New Roman"/>
          <w:sz w:val="28"/>
          <w:szCs w:val="28"/>
        </w:rPr>
        <w:t>34282365@qq.com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研究方向：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妇科肿瘤；肿瘤转移；</w:t>
      </w:r>
      <w:r>
        <w:rPr>
          <w:rFonts w:ascii="Times New Roman" w:hAnsi="Times New Roman" w:eastAsia="仿宋" w:cs="Times New Roman"/>
          <w:sz w:val="28"/>
          <w:szCs w:val="28"/>
        </w:rPr>
        <w:t>妇产科病理</w:t>
      </w:r>
    </w:p>
    <w:p>
      <w:pPr>
        <w:spacing w:line="360" w:lineRule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招生专业：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临床病理；妇产科学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二、教育背景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(1) 2007-09--2011-06, 南昌大学病理与病理生理学硕士</w:t>
      </w:r>
    </w:p>
    <w:p>
      <w:pPr>
        <w:spacing w:line="360" w:lineRule="auto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(2) 1998-09--2003-06, 江西医学院临床医学学士</w:t>
      </w: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三、工作经历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(1) 2016-12 至 今, 江西省妇幼保健院, 病理科, 副主任医师 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(2) 2008-11 至 2016-12, 江西省妇幼保健院, 病理科, 主治医师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(3) 2003-07 至 2008-11, 江西省妇幼保健院, 病理科, 医师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仿宋"/>
          <w:b w:val="0"/>
          <w:bCs/>
          <w:sz w:val="28"/>
          <w:szCs w:val="28"/>
          <w:lang w:val="en-US" w:eastAsia="zh-CN"/>
        </w:rPr>
      </w:pP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四、科研成果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1）项目基金：</w:t>
      </w:r>
    </w:p>
    <w:p>
      <w:pPr>
        <w:numPr>
          <w:ilvl w:val="0"/>
          <w:numId w:val="0"/>
        </w:numPr>
        <w:spacing w:line="360" w:lineRule="auto"/>
        <w:rPr>
          <w:rFonts w:hint="default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江西省自然科学基金-面上项目，circ-0080517调控CLDN4促进细胞自噬介导卵巢癌顺铂耐药的机制研究，</w:t>
      </w:r>
      <w:r>
        <w:rPr>
          <w:rFonts w:ascii="Times New Roman" w:hAnsi="Times New Roman" w:eastAsia="仿宋" w:cs="Times New Roman"/>
          <w:sz w:val="28"/>
          <w:szCs w:val="28"/>
        </w:rPr>
        <w:t>20212BAB206069</w:t>
      </w:r>
      <w:r>
        <w:rPr>
          <w:rFonts w:hint="eastAsia" w:ascii="Times New Roman" w:hAnsi="Times New Roman" w:eastAsia="仿宋" w:cs="Times New Roman"/>
          <w:sz w:val="28"/>
          <w:szCs w:val="28"/>
        </w:rPr>
        <w:t>，1</w:t>
      </w:r>
      <w:r>
        <w:rPr>
          <w:rFonts w:ascii="Times New Roman" w:hAnsi="Times New Roman" w:eastAsia="仿宋" w:cs="Times New Roman"/>
          <w:sz w:val="28"/>
          <w:szCs w:val="28"/>
        </w:rPr>
        <w:t>0</w:t>
      </w:r>
      <w:r>
        <w:rPr>
          <w:rFonts w:hint="eastAsia" w:ascii="Times New Roman" w:hAnsi="Times New Roman" w:eastAsia="仿宋" w:cs="Times New Roman"/>
          <w:sz w:val="28"/>
          <w:szCs w:val="28"/>
        </w:rPr>
        <w:t>万元，2</w:t>
      </w:r>
      <w:r>
        <w:rPr>
          <w:rFonts w:ascii="Times New Roman" w:hAnsi="Times New Roman" w:eastAsia="仿宋" w:cs="Times New Roman"/>
          <w:sz w:val="28"/>
          <w:szCs w:val="28"/>
        </w:rPr>
        <w:t>022.01-2024.12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2）文章：</w:t>
      </w:r>
    </w:p>
    <w:p>
      <w:pPr>
        <w:pStyle w:val="1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等线" w:cs="Times New Roman"/>
          <w:sz w:val="24"/>
        </w:rPr>
      </w:pPr>
      <w:r>
        <w:rPr>
          <w:rFonts w:ascii="Times New Roman" w:hAnsi="Times New Roman" w:eastAsia="等线" w:cs="Times New Roman"/>
          <w:sz w:val="24"/>
        </w:rPr>
        <w:t xml:space="preserve">Qiu P, </w:t>
      </w:r>
      <w:r>
        <w:rPr>
          <w:rFonts w:ascii="Times New Roman" w:hAnsi="Times New Roman" w:eastAsia="等线" w:cs="Times New Roman"/>
          <w:b/>
          <w:bCs/>
          <w:sz w:val="24"/>
        </w:rPr>
        <w:t>Jie Y</w:t>
      </w:r>
      <w:r>
        <w:rPr>
          <w:rFonts w:ascii="Times New Roman" w:hAnsi="Times New Roman" w:eastAsia="等线" w:cs="Times New Roman"/>
          <w:sz w:val="24"/>
        </w:rPr>
        <w:t>, Ma C, Chen H, Qin Y, Tu K, Wang L, Zhang Z. Paired box 8 facilitates the c-MYC related cell cycle progress in TP53-mutation uterine corpus endometrial carcinoma through interaction with DDX5. Cell Death Discov. 2022 Jun 7;8(1):276.</w:t>
      </w:r>
    </w:p>
    <w:p>
      <w:pPr>
        <w:pStyle w:val="1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等线" w:cs="Times New Roman"/>
          <w:sz w:val="24"/>
        </w:rPr>
      </w:pPr>
      <w:r>
        <w:rPr>
          <w:rFonts w:hint="eastAsia" w:ascii="Times New Roman" w:hAnsi="Times New Roman" w:eastAsia="等线" w:cs="Times New Roman"/>
          <w:sz w:val="24"/>
        </w:rPr>
        <w:t xml:space="preserve">Cai L, Hu X, Ye L, Bai P, </w:t>
      </w:r>
      <w:r>
        <w:rPr>
          <w:rFonts w:hint="eastAsia" w:ascii="Times New Roman" w:hAnsi="Times New Roman" w:eastAsia="等线" w:cs="Times New Roman"/>
          <w:b/>
          <w:bCs/>
          <w:sz w:val="24"/>
        </w:rPr>
        <w:t>Jie Y</w:t>
      </w:r>
      <w:r>
        <w:rPr>
          <w:rFonts w:hint="eastAsia" w:ascii="Times New Roman" w:hAnsi="Times New Roman" w:eastAsia="等线" w:cs="Times New Roman"/>
          <w:sz w:val="24"/>
        </w:rPr>
        <w:t>, Shu K. Long non-coding RNA ADAMTS9-AS1 attenuates ferroptosis by Targeting microRNA-587/solute carrier family 7 member 11 axis in epithelial ovarian cancer. Bioengineered. 2022;13(4):8226-8239. doi:10.1080/21655979.2022.2049470</w:t>
      </w:r>
    </w:p>
    <w:p>
      <w:pPr>
        <w:pStyle w:val="1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等线" w:cs="Times New Roman"/>
          <w:sz w:val="24"/>
        </w:rPr>
      </w:pPr>
      <w:r>
        <w:rPr>
          <w:rFonts w:ascii="Times New Roman" w:hAnsi="Times New Roman" w:eastAsia="等线" w:cs="Times New Roman"/>
          <w:sz w:val="24"/>
        </w:rPr>
        <w:t xml:space="preserve">Li Cai; Lu Ye; Xiaoqin Hu; Wenfeng He; Debao Zhuang; Qi Guo; Kuanyong Shu; </w:t>
      </w:r>
      <w:r>
        <w:rPr>
          <w:rFonts w:ascii="Times New Roman" w:hAnsi="Times New Roman" w:eastAsia="等线" w:cs="Times New Roman"/>
          <w:b/>
          <w:bCs/>
          <w:sz w:val="24"/>
        </w:rPr>
        <w:t>Youkun Jie</w:t>
      </w:r>
      <w:r>
        <w:rPr>
          <w:rFonts w:ascii="Times New Roman" w:hAnsi="Times New Roman" w:eastAsia="等线" w:cs="Times New Roman"/>
          <w:sz w:val="24"/>
        </w:rPr>
        <w:t xml:space="preserve">; MircoRNA miR-330-3P suppresses the progression of ovarian cancr by targeting RIPK4, Bioengineered,2021, 12(1): 440-449. </w:t>
      </w:r>
    </w:p>
    <w:p>
      <w:pPr>
        <w:pStyle w:val="1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eastAsia="等线" w:cs="Times New Roman"/>
          <w:sz w:val="24"/>
        </w:rPr>
      </w:pPr>
      <w:r>
        <w:rPr>
          <w:rFonts w:ascii="Times New Roman" w:hAnsi="Times New Roman" w:eastAsia="等线" w:cs="Times New Roman"/>
          <w:sz w:val="24"/>
        </w:rPr>
        <w:t xml:space="preserve">Ye Lu; Li Cai; Yonghui Fu; Debao Zhuang; Xiaoqing Hu; </w:t>
      </w:r>
      <w:r>
        <w:rPr>
          <w:rFonts w:ascii="Times New Roman" w:hAnsi="Times New Roman" w:eastAsia="等线" w:cs="Times New Roman"/>
          <w:b/>
          <w:bCs/>
          <w:sz w:val="24"/>
        </w:rPr>
        <w:t>Youkun Jie</w:t>
      </w:r>
      <w:r>
        <w:rPr>
          <w:rFonts w:ascii="Times New Roman" w:hAnsi="Times New Roman" w:eastAsia="等线" w:cs="Times New Roman"/>
          <w:sz w:val="24"/>
        </w:rPr>
        <w:t>; The prevalence, risk factors, and prognostic value of venous thromboembolism in ovarian cancer patients receiving chemotherapy: a systematic review and meta-analysis, World J Surg Oncol, 2021, 19(1): 12.</w:t>
      </w:r>
    </w:p>
    <w:p>
      <w:pPr>
        <w:pStyle w:val="16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hint="eastAsia" w:ascii="Times New Roman" w:hAnsi="Times New Roman" w:eastAsia="等线" w:cs="Times New Roman"/>
          <w:sz w:val="24"/>
        </w:rPr>
      </w:pPr>
      <w:r>
        <w:rPr>
          <w:rFonts w:ascii="Times New Roman" w:hAnsi="Times New Roman" w:eastAsia="等线" w:cs="Times New Roman"/>
          <w:sz w:val="24"/>
        </w:rPr>
        <w:t xml:space="preserve">You Kun Jie; Lu Ye; He Chen; Xionghong Xu; Li Cai; Wenfeng He; Yonghui Fu ; ELFN1-AS1 accelerates cell proliferation, invasion and migration via regulating miR-497-3p/CLDN4 axis in ovarian cancer, Bioengineered, 2020, 11(1): 872-882. </w:t>
      </w:r>
    </w:p>
    <w:p>
      <w:pPr>
        <w:pStyle w:val="16"/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ascii="Times New Roman" w:hAnsi="Times New Roman" w:eastAsia="等线" w:cs="Times New Roman"/>
          <w:sz w:val="24"/>
        </w:rPr>
      </w:pPr>
    </w:p>
    <w:p>
      <w:pPr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五、社会兼职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CN"/>
        </w:rPr>
      </w:pPr>
      <w:r>
        <w:rPr>
          <w:rFonts w:hint="eastAsia" w:ascii="仿宋" w:hAnsi="仿宋" w:eastAsia="仿宋" w:cs="仿宋"/>
          <w:sz w:val="28"/>
          <w:szCs w:val="28"/>
          <w:lang w:val="zh-TW" w:eastAsia="zh-CN"/>
        </w:rPr>
        <w:t>中国妇幼保健协会乳腺保健专业委员会委员；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CN"/>
        </w:rPr>
      </w:pPr>
      <w:r>
        <w:rPr>
          <w:rFonts w:hint="eastAsia" w:ascii="仿宋" w:hAnsi="仿宋" w:eastAsia="仿宋" w:cs="仿宋"/>
          <w:sz w:val="28"/>
          <w:szCs w:val="28"/>
          <w:lang w:val="zh-TW" w:eastAsia="zh-CN"/>
        </w:rPr>
        <w:t>江西省妇幼保健与优生优育协会病理专业委员会副主任委员；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zh-TW" w:eastAsia="zh-CN"/>
        </w:rPr>
      </w:pPr>
      <w:r>
        <w:rPr>
          <w:rFonts w:hint="eastAsia" w:ascii="仿宋" w:hAnsi="仿宋" w:eastAsia="仿宋" w:cs="仿宋"/>
          <w:sz w:val="28"/>
          <w:szCs w:val="28"/>
          <w:lang w:val="zh-TW" w:eastAsia="zh-CN"/>
        </w:rPr>
        <w:t>江西省整合医学会肿瘤免疫分会常委；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zh-TW" w:eastAsia="zh-CN"/>
        </w:rPr>
        <w:t>江西省整合医学会病理分会常委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5D352C"/>
    <w:multiLevelType w:val="multilevel"/>
    <w:tmpl w:val="5F5D352C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hNDRkYjY3Mzg2MDY2MjU2M2UzNjA2M2JiZGE3ZDUifQ=="/>
    <w:docVar w:name="KSO_WPS_MARK_KEY" w:val="55b7f2da-77a8-486e-8d10-1bc0779cb6db"/>
  </w:docVars>
  <w:rsids>
    <w:rsidRoot w:val="006F2000"/>
    <w:rsid w:val="0003485A"/>
    <w:rsid w:val="000571AA"/>
    <w:rsid w:val="000F5FE5"/>
    <w:rsid w:val="00167F60"/>
    <w:rsid w:val="0017278D"/>
    <w:rsid w:val="00175C64"/>
    <w:rsid w:val="001B6005"/>
    <w:rsid w:val="002C27E5"/>
    <w:rsid w:val="0033235E"/>
    <w:rsid w:val="003B591F"/>
    <w:rsid w:val="003C5F9C"/>
    <w:rsid w:val="003F6BB7"/>
    <w:rsid w:val="004A4F72"/>
    <w:rsid w:val="0057062D"/>
    <w:rsid w:val="005708CD"/>
    <w:rsid w:val="005C317C"/>
    <w:rsid w:val="005D24C7"/>
    <w:rsid w:val="005E115B"/>
    <w:rsid w:val="00657875"/>
    <w:rsid w:val="006E7B47"/>
    <w:rsid w:val="006F2000"/>
    <w:rsid w:val="007F12B6"/>
    <w:rsid w:val="008A4C68"/>
    <w:rsid w:val="00943748"/>
    <w:rsid w:val="00970675"/>
    <w:rsid w:val="00991997"/>
    <w:rsid w:val="00A54DF8"/>
    <w:rsid w:val="00A6371A"/>
    <w:rsid w:val="00A97B40"/>
    <w:rsid w:val="00AA750D"/>
    <w:rsid w:val="00B26DD9"/>
    <w:rsid w:val="00B30595"/>
    <w:rsid w:val="00B972BE"/>
    <w:rsid w:val="00BC2C36"/>
    <w:rsid w:val="00C310F7"/>
    <w:rsid w:val="00C31407"/>
    <w:rsid w:val="00C43EFF"/>
    <w:rsid w:val="00CE7289"/>
    <w:rsid w:val="00D17453"/>
    <w:rsid w:val="00D327D5"/>
    <w:rsid w:val="00D81FF8"/>
    <w:rsid w:val="00D9745E"/>
    <w:rsid w:val="00DC1F42"/>
    <w:rsid w:val="00DF6B7B"/>
    <w:rsid w:val="00E14D3C"/>
    <w:rsid w:val="00E354BF"/>
    <w:rsid w:val="00E8285B"/>
    <w:rsid w:val="00E90066"/>
    <w:rsid w:val="00FA0675"/>
    <w:rsid w:val="00FA69DB"/>
    <w:rsid w:val="0E874884"/>
    <w:rsid w:val="11A54229"/>
    <w:rsid w:val="1221025F"/>
    <w:rsid w:val="16CE3FCB"/>
    <w:rsid w:val="1C0A67C1"/>
    <w:rsid w:val="21451054"/>
    <w:rsid w:val="22160F81"/>
    <w:rsid w:val="29493649"/>
    <w:rsid w:val="323B0532"/>
    <w:rsid w:val="3C010285"/>
    <w:rsid w:val="45CD6BF1"/>
    <w:rsid w:val="4F5F580B"/>
    <w:rsid w:val="52FB43DC"/>
    <w:rsid w:val="62DE4290"/>
    <w:rsid w:val="64C9443C"/>
    <w:rsid w:val="700B42B8"/>
    <w:rsid w:val="70C54AA3"/>
    <w:rsid w:val="7C38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批注框文本 Char"/>
    <w:basedOn w:val="9"/>
    <w:link w:val="3"/>
    <w:autoRedefine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9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Char"/>
    <w:basedOn w:val="9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Char"/>
    <w:basedOn w:val="14"/>
    <w:link w:val="6"/>
    <w:autoRedefine/>
    <w:semiHidden/>
    <w:qFormat/>
    <w:uiPriority w:val="99"/>
    <w:rPr>
      <w:b/>
      <w:bCs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44965-F15A-4BCF-8306-63A59D63E5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</Words>
  <Characters>70</Characters>
  <Lines>4</Lines>
  <Paragraphs>1</Paragraphs>
  <TotalTime>1</TotalTime>
  <ScaleCrop>false</ScaleCrop>
  <LinksUpToDate>false</LinksUpToDate>
  <CharactersWithSpaces>107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2021-07-09T01:24:00Z</dcterms:created>
  <dc:creator>gyb1</dc:creator>
  <cp:lastModifiedBy>Kelly</cp:lastModifiedBy>
  <dcterms:modified xsi:type="dcterms:W3CDTF">2024-07-01T01:36:55Z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530012F536DB44BE8E920BD977594097_13</vt:lpwstr>
  </property>
</Properties>
</file>